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3" w:rsidRDefault="00A63A93" w:rsidP="00A63A9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D71EF4">
        <w:rPr>
          <w:rFonts w:eastAsia="Times New Roman" w:cstheme="minorHAnsi"/>
          <w:i/>
          <w:iCs/>
          <w:color w:val="000000" w:themeColor="text1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>4 do Formularza ofertowego</w:t>
      </w:r>
    </w:p>
    <w:p w:rsidR="00A63A93" w:rsidRDefault="00A63A93" w:rsidP="00A63A93">
      <w:pPr>
        <w:spacing w:after="0" w:line="240" w:lineRule="auto"/>
        <w:ind w:right="567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A63A93" w:rsidRDefault="00A63A93" w:rsidP="00A63A93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hAnsi="Calibri" w:cs="Calibri"/>
          <w:b/>
          <w:bCs/>
          <w:color w:val="000000"/>
        </w:rPr>
      </w:pPr>
      <w:r w:rsidRPr="00D71EF4">
        <w:rPr>
          <w:rFonts w:ascii="Calibri" w:hAnsi="Calibri" w:cs="Calibri"/>
          <w:b/>
          <w:bCs/>
          <w:color w:val="000000"/>
        </w:rPr>
        <w:t>Klauzula informacyjna</w:t>
      </w:r>
    </w:p>
    <w:p w:rsidR="00A63A93" w:rsidRPr="00D71EF4" w:rsidRDefault="00A63A93" w:rsidP="00A63A93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hAnsi="Calibri" w:cs="Calibri"/>
          <w:color w:val="000000"/>
        </w:rPr>
      </w:pPr>
    </w:p>
    <w:p w:rsidR="00A63A93" w:rsidRPr="003A56F5" w:rsidRDefault="00A63A93" w:rsidP="00A63A93">
      <w:pPr>
        <w:spacing w:before="20" w:after="60"/>
        <w:jc w:val="both"/>
        <w:rPr>
          <w:rFonts w:ascii="Arial" w:hAnsi="Arial" w:cs="Arial"/>
          <w:i/>
          <w:sz w:val="18"/>
          <w:szCs w:val="18"/>
        </w:rPr>
      </w:pPr>
      <w:r w:rsidRPr="003A56F5">
        <w:rPr>
          <w:rFonts w:ascii="Arial" w:hAnsi="Arial" w:cs="Arial"/>
          <w:i/>
          <w:sz w:val="18"/>
          <w:szCs w:val="18"/>
        </w:rPr>
        <w:t xml:space="preserve">W celu zapewnienia przejrzystości przetwarzania danych osobowych w związku z </w:t>
      </w:r>
      <w:r>
        <w:rPr>
          <w:rFonts w:ascii="Arial" w:hAnsi="Arial" w:cs="Arial"/>
          <w:i/>
          <w:sz w:val="18"/>
          <w:szCs w:val="18"/>
        </w:rPr>
        <w:t>prowadzonym postępowaniem dotyczącym planowanego zakupu towarów lub usług  chcemy  poinformować o tym, że:</w:t>
      </w:r>
    </w:p>
    <w:p w:rsidR="00A63A93" w:rsidRDefault="00A63A93" w:rsidP="00A63A93">
      <w:pPr>
        <w:pStyle w:val="AAnagwek"/>
      </w:pPr>
      <w:r>
        <w:t>Dane Administratora Danych Osobowych</w:t>
      </w:r>
    </w:p>
    <w:p w:rsidR="00A63A93" w:rsidRPr="00CA6372" w:rsidRDefault="00A63A93" w:rsidP="00A63A93">
      <w:pPr>
        <w:pStyle w:val="AAa2punkty"/>
      </w:pPr>
      <w:r w:rsidRPr="00CA6372">
        <w:t>Administratorem Państwa danych osobowych jest Wojewódzkie Wielospecjalistyczne Centrum Onkologii</w:t>
      </w:r>
      <w:r>
        <w:br/>
        <w:t xml:space="preserve">i </w:t>
      </w:r>
      <w:r w:rsidRPr="00CA6372">
        <w:t>Traumatologii im. M. Kopernika w Łodzi, zwane dalej Szpitalem.</w:t>
      </w:r>
    </w:p>
    <w:p w:rsidR="00A63A93" w:rsidRPr="00CA6372" w:rsidRDefault="00A63A93" w:rsidP="00A63A93">
      <w:pPr>
        <w:pStyle w:val="AAa2punkty"/>
      </w:pPr>
      <w:r w:rsidRPr="00CA6372">
        <w:t>Dane kontaktowe Szpitala: 93-513 Łódź, ul. Pabianicka 62, tel.: +48 42689 5000, e-mail: szpital@kopernik.lodz.pl.</w:t>
      </w:r>
    </w:p>
    <w:p w:rsidR="00A63A93" w:rsidRPr="00CA6372" w:rsidRDefault="00A63A93" w:rsidP="00A63A93">
      <w:pPr>
        <w:pStyle w:val="AAa2punkty"/>
      </w:pPr>
      <w:r w:rsidRPr="00CA6372">
        <w:t xml:space="preserve">Jeśli mają Państwo pytania dotyczące przetwarzania danych prosimy je kierować listownie na adres Szpitala lub mailowo do Inspektora Ochrony Danych Pana Tomasza </w:t>
      </w:r>
      <w:proofErr w:type="spellStart"/>
      <w:r w:rsidRPr="00CA6372">
        <w:t>Zdzienickiego</w:t>
      </w:r>
      <w:proofErr w:type="spellEnd"/>
      <w:r w:rsidRPr="00CA6372">
        <w:t xml:space="preserve"> (iod@kopernik.lodz.pl).</w:t>
      </w:r>
    </w:p>
    <w:p w:rsidR="00A63A93" w:rsidRDefault="00A63A93" w:rsidP="00A63A93">
      <w:pPr>
        <w:pStyle w:val="AAnagwek"/>
      </w:pPr>
      <w:r>
        <w:t>Cel przetwarzania danych</w:t>
      </w:r>
    </w:p>
    <w:p w:rsidR="00A63A93" w:rsidRDefault="00A63A93" w:rsidP="00A63A93">
      <w:pPr>
        <w:spacing w:before="20" w:after="60"/>
        <w:ind w:left="353" w:hanging="142"/>
        <w:jc w:val="both"/>
        <w:rPr>
          <w:rFonts w:ascii="Arial" w:hAnsi="Arial" w:cs="Arial"/>
          <w:sz w:val="18"/>
          <w:szCs w:val="18"/>
        </w:rPr>
      </w:pPr>
      <w:r w:rsidRPr="00CA6372">
        <w:rPr>
          <w:rStyle w:val="AAa2punktyZnak"/>
        </w:rPr>
        <w:t>Przetwarzanie Państwa danych jest obowiązkiem Szpitala</w:t>
      </w:r>
      <w:r>
        <w:rPr>
          <w:rFonts w:ascii="Arial" w:hAnsi="Arial" w:cs="Arial"/>
          <w:sz w:val="18"/>
          <w:szCs w:val="18"/>
        </w:rPr>
        <w:t>. Państwa dane przetwarzamy w celu:</w:t>
      </w:r>
    </w:p>
    <w:p w:rsidR="00A63A93" w:rsidRDefault="00A63A93" w:rsidP="00A63A93">
      <w:pPr>
        <w:pStyle w:val="AAa2punkty"/>
        <w:numPr>
          <w:ilvl w:val="0"/>
          <w:numId w:val="0"/>
        </w:numPr>
        <w:ind w:left="426"/>
      </w:pPr>
      <w:r w:rsidRPr="00E55950">
        <w:t xml:space="preserve">niezbędnych do wypełnienia obowiązków i szczególnych praw </w:t>
      </w:r>
      <w:r>
        <w:t>A</w:t>
      </w:r>
      <w:r w:rsidRPr="00E55950">
        <w:t>dministratora w związku</w:t>
      </w:r>
      <w:r>
        <w:br/>
      </w:r>
      <w:r w:rsidRPr="00E55950">
        <w:t>z  przeprowadzeni</w:t>
      </w:r>
      <w:r>
        <w:t>em</w:t>
      </w:r>
      <w:r w:rsidRPr="00E55950">
        <w:t xml:space="preserve"> postępowania dotyczącego zakupu towarów lub usług</w:t>
      </w:r>
      <w:r>
        <w:t>,</w:t>
      </w:r>
      <w:r w:rsidRPr="00E55950">
        <w:t xml:space="preserve"> </w:t>
      </w:r>
      <w:r>
        <w:t>poniżej kwoty określonej</w:t>
      </w:r>
      <w:r>
        <w:br/>
      </w:r>
      <w:r w:rsidRPr="00E55950">
        <w:t xml:space="preserve">w art. </w:t>
      </w:r>
      <w:r>
        <w:t xml:space="preserve">2 </w:t>
      </w:r>
      <w:r w:rsidRPr="00E55950">
        <w:t xml:space="preserve">ustawy z </w:t>
      </w:r>
      <w:r>
        <w:t>dnia 11 września 2019 r. Prawo zamówień publicznych,</w:t>
      </w:r>
    </w:p>
    <w:p w:rsidR="00A63A93" w:rsidRDefault="00A63A93" w:rsidP="00A63A93">
      <w:pPr>
        <w:pStyle w:val="AAa2punkty"/>
      </w:pPr>
      <w:r>
        <w:t>przestrzegania zasad dotyczących wydatkowania finansów publicznych,</w:t>
      </w:r>
    </w:p>
    <w:p w:rsidR="00A63A93" w:rsidRDefault="00A63A93" w:rsidP="00A63A93">
      <w:pPr>
        <w:pStyle w:val="AAa2punkty"/>
      </w:pPr>
      <w:r w:rsidRPr="00053C2F">
        <w:t>dochodzeni</w:t>
      </w:r>
      <w:r>
        <w:t xml:space="preserve">a lub </w:t>
      </w:r>
      <w:r w:rsidRPr="00053C2F">
        <w:t>obron</w:t>
      </w:r>
      <w:r>
        <w:t>y</w:t>
      </w:r>
      <w:r w:rsidRPr="00053C2F">
        <w:t xml:space="preserve"> </w:t>
      </w:r>
      <w:r>
        <w:t xml:space="preserve">przed </w:t>
      </w:r>
      <w:r w:rsidRPr="00053C2F">
        <w:t>roszcze</w:t>
      </w:r>
      <w:r>
        <w:t>niami</w:t>
      </w:r>
      <w:r w:rsidRPr="00053C2F">
        <w:t xml:space="preserve"> (jako  uzasadniony  interes </w:t>
      </w:r>
      <w:r>
        <w:t>A</w:t>
      </w:r>
      <w:r w:rsidRPr="00053C2F">
        <w:t>dministratora danyc</w:t>
      </w:r>
      <w:r>
        <w:t>h).</w:t>
      </w:r>
    </w:p>
    <w:p w:rsidR="00A63A93" w:rsidRDefault="00A63A93" w:rsidP="00A63A93">
      <w:pPr>
        <w:pStyle w:val="AAnagwek"/>
      </w:pPr>
      <w:r>
        <w:t>Podstawa prawna przetwarzania danych</w:t>
      </w:r>
    </w:p>
    <w:p w:rsidR="00A63A93" w:rsidRDefault="00A63A93" w:rsidP="00A63A93">
      <w:pPr>
        <w:pStyle w:val="AAa1tekst"/>
      </w:pPr>
      <w:r>
        <w:t>Państwa dane osobowe są przetwarzane na podstawie przepisów prawa, w szczególności wskazanych w:</w:t>
      </w:r>
    </w:p>
    <w:p w:rsidR="00A63A93" w:rsidRDefault="00A63A93" w:rsidP="00A63A93">
      <w:pPr>
        <w:pStyle w:val="AAa2punkty"/>
      </w:pPr>
      <w:r>
        <w:t>Rozporządzeniu Parlamentu Europejskiego i Rady (UE) 2016/679 z dnia 27 kwietnia 2016r.</w:t>
      </w:r>
      <w:r>
        <w:br/>
        <w:t>w sprawie ochrony osób fizycznych w związku z przetwarzaniem danych osobowych i w sprawie swobodnego przepływu takich danych oraz uchylenia dyrektywy 95/46/WE (ogólne rozporządzenie</w:t>
      </w:r>
      <w:r>
        <w:br/>
        <w:t>o ochronie danych), zwane RODO,</w:t>
      </w:r>
    </w:p>
    <w:p w:rsidR="00A63A93" w:rsidRPr="006243B6" w:rsidRDefault="00A63A93" w:rsidP="00A63A93">
      <w:pPr>
        <w:pStyle w:val="AAa2punkty"/>
      </w:pPr>
      <w:r>
        <w:t>ustawie z dnia z dnia 27 sierpnia 2009 r. o finansach publicznych</w:t>
      </w:r>
      <w:r w:rsidRPr="006243B6">
        <w:t>,</w:t>
      </w:r>
    </w:p>
    <w:p w:rsidR="00A63A93" w:rsidRDefault="00A63A93" w:rsidP="00A63A93">
      <w:pPr>
        <w:pStyle w:val="AAa2punkty"/>
      </w:pPr>
      <w:r>
        <w:t>ustawie z dnia 14 lipca 1983 r. o narodowym zasobie archiwalnym i archiwach.</w:t>
      </w:r>
    </w:p>
    <w:p w:rsidR="00A63A93" w:rsidRDefault="00A63A93" w:rsidP="00A63A93">
      <w:pPr>
        <w:pStyle w:val="AAnagwek"/>
      </w:pPr>
      <w:r>
        <w:t>Źródła pozyskania danych</w:t>
      </w:r>
    </w:p>
    <w:p w:rsidR="00A63A93" w:rsidRDefault="00A63A93" w:rsidP="00A63A93">
      <w:pPr>
        <w:pStyle w:val="AAa1tekst"/>
      </w:pPr>
      <w:r>
        <w:t xml:space="preserve">Szpital mógł pozyskać Państwa dane osobowe bezpośrednio od Państwa, ze źródeł ogólnie dostępnych lub na podstawie złożonej oferty w innym postępowaniu. </w:t>
      </w:r>
    </w:p>
    <w:p w:rsidR="00A63A93" w:rsidRDefault="00A63A93" w:rsidP="00A63A93">
      <w:pPr>
        <w:pStyle w:val="AAnagwek"/>
      </w:pPr>
      <w:r>
        <w:t>Odbiorcy danych</w:t>
      </w:r>
    </w:p>
    <w:p w:rsidR="00A63A93" w:rsidRDefault="00A63A93" w:rsidP="00A63A93">
      <w:pPr>
        <w:pStyle w:val="AAa1tekst"/>
      </w:pPr>
      <w:r>
        <w:t xml:space="preserve">Państwa dane będą </w:t>
      </w:r>
      <w:r w:rsidRPr="00F2709C">
        <w:t>udostępniane organom publicznym na podstawie obowiązujących przepisów prawa</w:t>
      </w:r>
      <w:r>
        <w:t xml:space="preserve">. Odbiorcami Państwa danych mogą być również </w:t>
      </w:r>
      <w:r w:rsidRPr="00F2709C">
        <w:t>podmiot</w:t>
      </w:r>
      <w:r>
        <w:t>y</w:t>
      </w:r>
      <w:r w:rsidRPr="00F2709C">
        <w:t xml:space="preserve"> przetwarzając</w:t>
      </w:r>
      <w:r>
        <w:t>e</w:t>
      </w:r>
      <w:r w:rsidRPr="00F2709C">
        <w:t xml:space="preserve"> na podstawie umowy powierzenia przetwarzania danych osobowych</w:t>
      </w:r>
      <w:r>
        <w:t xml:space="preserve"> zawartej ze Szpitalem</w:t>
      </w:r>
      <w:r w:rsidRPr="00F2709C">
        <w:t xml:space="preserve">. </w:t>
      </w:r>
      <w:r>
        <w:t>Odbiorcami Państwa danych mogą być:</w:t>
      </w:r>
    </w:p>
    <w:p w:rsidR="00A63A93" w:rsidRDefault="00A63A93" w:rsidP="00A63A93">
      <w:pPr>
        <w:pStyle w:val="AAa2punkty"/>
      </w:pPr>
      <w:r>
        <w:t>podmioty świadczące dla Szpitala usługi:</w:t>
      </w:r>
    </w:p>
    <w:p w:rsidR="00A63A93" w:rsidRPr="00B34D9A" w:rsidRDefault="00A63A93" w:rsidP="00A63A93">
      <w:pPr>
        <w:pStyle w:val="AAA3punktydodatkowe"/>
      </w:pPr>
      <w:r w:rsidRPr="00B34D9A">
        <w:t>prawne,</w:t>
      </w:r>
    </w:p>
    <w:p w:rsidR="00A63A93" w:rsidRPr="00B34D9A" w:rsidRDefault="00A63A93" w:rsidP="00A63A93">
      <w:pPr>
        <w:pStyle w:val="AAA3punktydodatkowe"/>
      </w:pPr>
      <w:r w:rsidRPr="00B34D9A">
        <w:t>doradcze i audytu,</w:t>
      </w:r>
    </w:p>
    <w:p w:rsidR="00A63A93" w:rsidRPr="00B34D9A" w:rsidRDefault="00A63A93" w:rsidP="00A63A93">
      <w:pPr>
        <w:pStyle w:val="AAA3punktydodatkowe"/>
      </w:pPr>
      <w:r>
        <w:t>informatyczne.</w:t>
      </w:r>
    </w:p>
    <w:p w:rsidR="00A63A93" w:rsidRDefault="00A63A93" w:rsidP="00A63A93">
      <w:pPr>
        <w:pStyle w:val="AAnagwek"/>
      </w:pPr>
      <w:r>
        <w:t>Okres przechowywania</w:t>
      </w:r>
    </w:p>
    <w:p w:rsidR="00A63A93" w:rsidRDefault="00A63A93" w:rsidP="00A63A93">
      <w:pPr>
        <w:pStyle w:val="AAa1tekst"/>
      </w:pPr>
      <w:r>
        <w:t>Państwa dane osobowe będą przetwarzane przez okres wskazany w przepisach prawa podanych zgodnie z art. 5 ustawy z dnia 14 lipca 1983 r. o narodowym zasobie archiwalnym i archiwach.</w:t>
      </w:r>
    </w:p>
    <w:p w:rsidR="00A63A93" w:rsidRDefault="00A63A93" w:rsidP="00A63A93">
      <w:pPr>
        <w:spacing w:before="2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Prawa osób</w:t>
      </w:r>
    </w:p>
    <w:p w:rsidR="00A63A93" w:rsidRDefault="00A63A93" w:rsidP="00A63A93">
      <w:pPr>
        <w:pStyle w:val="AAa1tekst"/>
      </w:pPr>
      <w:r>
        <w:t xml:space="preserve">W związku z przetwarzaniem Państwa danych możecie Państwo: </w:t>
      </w:r>
    </w:p>
    <w:p w:rsidR="00A63A93" w:rsidRDefault="00A63A93" w:rsidP="00A63A93">
      <w:pPr>
        <w:pStyle w:val="AAa2punkty"/>
      </w:pPr>
      <w:r>
        <w:t>uzyskać dostęp do treści swoich danych,</w:t>
      </w:r>
    </w:p>
    <w:p w:rsidR="00A63A93" w:rsidRDefault="00A63A93" w:rsidP="00A63A93">
      <w:pPr>
        <w:pStyle w:val="AAa2punkty"/>
      </w:pPr>
      <w:r>
        <w:lastRenderedPageBreak/>
        <w:t>żądać ich sprostowania,</w:t>
      </w:r>
    </w:p>
    <w:p w:rsidR="00A63A93" w:rsidRDefault="00A63A93" w:rsidP="00A63A93">
      <w:pPr>
        <w:pStyle w:val="AAa2punkty"/>
      </w:pPr>
      <w:r>
        <w:t>żądać ograniczenia przetwarzania lub usunięcia niektórych danych jeśli minął okres przechowywania danej dokumentacji,</w:t>
      </w:r>
    </w:p>
    <w:p w:rsidR="00A63A93" w:rsidRDefault="00A63A93" w:rsidP="00A63A93">
      <w:pPr>
        <w:pStyle w:val="AAa2punkty"/>
      </w:pPr>
      <w:r>
        <w:t>żądać wszelkich informacji dotyczących przetwarzania Państwa danych osobowych.</w:t>
      </w:r>
    </w:p>
    <w:p w:rsidR="00A63A93" w:rsidRPr="00324B32" w:rsidRDefault="00A63A93" w:rsidP="00A63A93">
      <w:pPr>
        <w:pStyle w:val="AAa1tekst"/>
      </w:pPr>
      <w:r>
        <w:t>Jeśli uznają Państwo, iż przetwarzanie danych osobowych narusza przepisy RODO, przysługuje Państwu prawo wniesienia skargi do organu nadzorczego, tj. do Prezesa Urzędu Ochrony Danych Osobowych,00-193 Warszawa, ul. Stawki 2.</w:t>
      </w:r>
    </w:p>
    <w:p w:rsidR="00A63A93" w:rsidRDefault="00A63A93" w:rsidP="00A63A93">
      <w:pPr>
        <w:spacing w:before="2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Zautomatyzowane podejmowanie decyzji</w:t>
      </w:r>
    </w:p>
    <w:p w:rsidR="00A63A93" w:rsidRDefault="00A63A93" w:rsidP="00A63A93">
      <w:pPr>
        <w:pStyle w:val="AAa1tekst"/>
      </w:pPr>
      <w:r>
        <w:t>Państwa dane nie będą przetwarzane w sposób zautomatyzowany, w tym również w formie profilowania.</w:t>
      </w:r>
    </w:p>
    <w:p w:rsidR="00A63A93" w:rsidRDefault="00A63A93" w:rsidP="00A63A93">
      <w:pPr>
        <w:spacing w:before="2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Przekazywanie danych do Państwa trzeciego</w:t>
      </w:r>
    </w:p>
    <w:p w:rsidR="00A63A93" w:rsidRDefault="00A63A93" w:rsidP="00A63A93">
      <w:pPr>
        <w:pStyle w:val="AAa1tekst"/>
      </w:pPr>
      <w:r>
        <w:t>Nie planujemy przekazywania Państwa danych osobowych do państw trzecich.</w:t>
      </w:r>
    </w:p>
    <w:tbl>
      <w:tblPr>
        <w:tblpPr w:leftFromText="141" w:rightFromText="141" w:vertAnchor="text" w:horzAnchor="margin" w:tblpXSpec="center" w:tblpY="10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A63A93" w:rsidTr="00D80E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1nagwek"/>
              <w:spacing w:before="80" w:after="8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Czynność/zakres danych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1nagwek"/>
              <w:spacing w:before="80" w:after="8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Przepis prawa</w:t>
            </w:r>
          </w:p>
        </w:tc>
      </w:tr>
      <w:tr w:rsidR="00A63A93" w:rsidTr="00D80E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3" w:rsidRDefault="00A63A93" w:rsidP="00D80E97">
            <w:pPr>
              <w:pStyle w:val="AAa1tekst"/>
              <w:spacing w:before="60"/>
              <w:ind w:left="34"/>
              <w:jc w:val="left"/>
              <w:rPr>
                <w:b/>
              </w:rPr>
            </w:pPr>
            <w:r>
              <w:t>Przetwarzanie danych zawartych w ofertach potencjalnych Wykonawców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3" w:rsidRDefault="00A63A93" w:rsidP="00D80E97">
            <w:pPr>
              <w:pStyle w:val="AAa1tekst"/>
              <w:spacing w:before="60"/>
              <w:ind w:left="0"/>
            </w:pPr>
            <w:r>
              <w:t xml:space="preserve">art. 6 ust. 1 lit. c) oraz f) RODO w związku z art. 44 ust. 3 ustawy z dnia </w:t>
            </w:r>
            <w:r w:rsidRPr="00F67DB3">
              <w:t>27 sierpnia 2009 r. o finansach publicznych</w:t>
            </w:r>
          </w:p>
        </w:tc>
      </w:tr>
      <w:tr w:rsidR="00A63A93" w:rsidTr="00D80E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34"/>
              <w:jc w:val="left"/>
              <w:rPr>
                <w:b/>
              </w:rPr>
            </w:pPr>
            <w:r>
              <w:t>Udostępnienie danych osobowych  uprawnionym podmiotom kontrolnym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0"/>
              <w:rPr>
                <w:b/>
              </w:rPr>
            </w:pPr>
            <w:r>
              <w:t>art. 6 ust.1 lit. c)  w związku ze szczególnym przepisem uprawniającym do pozyskania danych w ramach prowadzonej kontroli (lub postępowania).</w:t>
            </w:r>
          </w:p>
        </w:tc>
      </w:tr>
      <w:tr w:rsidR="00A63A93" w:rsidTr="00D80E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34"/>
              <w:jc w:val="left"/>
              <w:rPr>
                <w:b/>
              </w:rPr>
            </w:pPr>
            <w:r>
              <w:t xml:space="preserve">Archiwizacja dokumentacji ofert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0"/>
              <w:rPr>
                <w:b/>
              </w:rPr>
            </w:pPr>
            <w:r>
              <w:t>art. 6 ust. 1 lit. c) RODO w związku z art. 5 ustawy z dnia 14 lipca 1983r. o narodowym zasobie archiwalnym i archiwach.</w:t>
            </w:r>
          </w:p>
        </w:tc>
      </w:tr>
      <w:tr w:rsidR="00A63A93" w:rsidTr="00D80E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34"/>
              <w:jc w:val="left"/>
              <w:rPr>
                <w:b/>
              </w:rPr>
            </w:pPr>
            <w:r>
              <w:t>Powierzenie operacji przetwarzania danych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3" w:rsidRDefault="00A63A93" w:rsidP="00D80E97">
            <w:pPr>
              <w:pStyle w:val="AAa1tekst"/>
              <w:spacing w:before="60"/>
              <w:ind w:left="0"/>
              <w:rPr>
                <w:b/>
              </w:rPr>
            </w:pPr>
            <w:r>
              <w:t>na podstawie art. 6 ust. f) oraz art. 28 RODO.</w:t>
            </w:r>
          </w:p>
        </w:tc>
      </w:tr>
    </w:tbl>
    <w:p w:rsidR="00A63A93" w:rsidRDefault="00A63A93" w:rsidP="00A63A93">
      <w:pPr>
        <w:rPr>
          <w:rFonts w:ascii="Arial" w:hAnsi="Arial" w:cs="Arial"/>
          <w:sz w:val="18"/>
          <w:szCs w:val="18"/>
        </w:rPr>
      </w:pPr>
    </w:p>
    <w:p w:rsidR="00A63A93" w:rsidRDefault="00A63A93" w:rsidP="00A63A93">
      <w:pPr>
        <w:pStyle w:val="1nagwek"/>
        <w:spacing w:before="20" w:after="6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podajemy dokładne podstawy prawne podstawowych operacji przetwarzania Państwa danych:</w:t>
      </w:r>
    </w:p>
    <w:p w:rsidR="008D0E8F" w:rsidRPr="00A63A93" w:rsidRDefault="008D0E8F" w:rsidP="00A63A9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D0E8F" w:rsidRPr="00A63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7EC73A" wp14:editId="3BADC0B5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369DD16C" wp14:editId="5F77E450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61D7C"/>
    <w:multiLevelType w:val="hybridMultilevel"/>
    <w:tmpl w:val="B81C91D2"/>
    <w:lvl w:ilvl="0" w:tplc="C55043F6">
      <w:start w:val="1"/>
      <w:numFmt w:val="bullet"/>
      <w:pStyle w:val="AAA3punktydodatkowe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3308A"/>
    <w:multiLevelType w:val="hybridMultilevel"/>
    <w:tmpl w:val="BB704612"/>
    <w:lvl w:ilvl="0" w:tplc="B844B54C">
      <w:start w:val="1"/>
      <w:numFmt w:val="bullet"/>
      <w:pStyle w:val="AAa2punkt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A26F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505408"/>
    <w:multiLevelType w:val="hybridMultilevel"/>
    <w:tmpl w:val="3CA263EE"/>
    <w:lvl w:ilvl="0" w:tplc="015207F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81A0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13"/>
  </w:num>
  <w:num w:numId="6">
    <w:abstractNumId w:val="5"/>
  </w:num>
  <w:num w:numId="7">
    <w:abstractNumId w:val="9"/>
  </w:num>
  <w:num w:numId="8">
    <w:abstractNumId w:val="20"/>
  </w:num>
  <w:num w:numId="9">
    <w:abstractNumId w:val="22"/>
  </w:num>
  <w:num w:numId="10">
    <w:abstractNumId w:val="21"/>
  </w:num>
  <w:num w:numId="11">
    <w:abstractNumId w:val="18"/>
  </w:num>
  <w:num w:numId="12">
    <w:abstractNumId w:val="19"/>
  </w:num>
  <w:num w:numId="13">
    <w:abstractNumId w:val="6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0"/>
  </w:num>
  <w:num w:numId="18">
    <w:abstractNumId w:val="16"/>
  </w:num>
  <w:num w:numId="19">
    <w:abstractNumId w:val="8"/>
  </w:num>
  <w:num w:numId="20">
    <w:abstractNumId w:val="11"/>
  </w:num>
  <w:num w:numId="21">
    <w:abstractNumId w:val="7"/>
  </w:num>
  <w:num w:numId="22">
    <w:abstractNumId w:val="3"/>
  </w:num>
  <w:num w:numId="23">
    <w:abstractNumId w:val="12"/>
  </w:num>
  <w:num w:numId="24">
    <w:abstractNumId w:val="17"/>
  </w:num>
  <w:num w:numId="25">
    <w:abstractNumId w:val="24"/>
  </w:num>
  <w:num w:numId="26">
    <w:abstractNumId w:val="1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470F0E"/>
    <w:rsid w:val="004E04E0"/>
    <w:rsid w:val="00723653"/>
    <w:rsid w:val="008D0E8F"/>
    <w:rsid w:val="00A63A93"/>
    <w:rsid w:val="00AC2554"/>
    <w:rsid w:val="00B63513"/>
    <w:rsid w:val="00E701B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93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nagwek">
    <w:name w:val="AAnagłówek"/>
    <w:basedOn w:val="Normalny"/>
    <w:link w:val="AAnagwekZnak"/>
    <w:autoRedefine/>
    <w:qFormat/>
    <w:rsid w:val="00A63A93"/>
    <w:pPr>
      <w:spacing w:before="20" w:after="60"/>
      <w:jc w:val="both"/>
    </w:pPr>
    <w:rPr>
      <w:rFonts w:ascii="Arial" w:hAnsi="Arial" w:cs="Arial"/>
      <w:b/>
      <w:sz w:val="18"/>
      <w:szCs w:val="18"/>
    </w:rPr>
  </w:style>
  <w:style w:type="character" w:customStyle="1" w:styleId="AAnagwekZnak">
    <w:name w:val="AAnagłówek Znak"/>
    <w:basedOn w:val="Domylnaczcionkaakapitu"/>
    <w:link w:val="AAnagwek"/>
    <w:rsid w:val="00A63A93"/>
    <w:rPr>
      <w:rFonts w:ascii="Arial" w:hAnsi="Arial" w:cs="Arial"/>
      <w:b/>
      <w:sz w:val="18"/>
      <w:szCs w:val="18"/>
    </w:rPr>
  </w:style>
  <w:style w:type="paragraph" w:customStyle="1" w:styleId="AAa2punkty">
    <w:name w:val="AAa2 punkty"/>
    <w:basedOn w:val="Akapitzlist"/>
    <w:link w:val="AAa2punktyZnak"/>
    <w:autoRedefine/>
    <w:qFormat/>
    <w:rsid w:val="00A63A93"/>
    <w:pPr>
      <w:numPr>
        <w:numId w:val="27"/>
      </w:numPr>
      <w:spacing w:before="40" w:after="0"/>
      <w:ind w:left="426" w:hanging="142"/>
      <w:jc w:val="both"/>
    </w:pPr>
    <w:rPr>
      <w:rFonts w:ascii="Arial" w:hAnsi="Arial" w:cs="Arial"/>
      <w:sz w:val="18"/>
      <w:szCs w:val="18"/>
    </w:rPr>
  </w:style>
  <w:style w:type="character" w:customStyle="1" w:styleId="AAa2punktyZnak">
    <w:name w:val="AAa2 punkty Znak"/>
    <w:basedOn w:val="Domylnaczcionkaakapitu"/>
    <w:link w:val="AAa2punkty"/>
    <w:rsid w:val="00A63A93"/>
    <w:rPr>
      <w:rFonts w:ascii="Arial" w:hAnsi="Arial" w:cs="Arial"/>
      <w:sz w:val="18"/>
      <w:szCs w:val="18"/>
    </w:rPr>
  </w:style>
  <w:style w:type="paragraph" w:customStyle="1" w:styleId="AAa1tekst">
    <w:name w:val="AAa1 tekst"/>
    <w:basedOn w:val="Normalny"/>
    <w:link w:val="AAa1tekstZnak"/>
    <w:qFormat/>
    <w:rsid w:val="00A63A93"/>
    <w:pPr>
      <w:spacing w:after="0"/>
      <w:ind w:left="142"/>
      <w:jc w:val="both"/>
    </w:pPr>
    <w:rPr>
      <w:rFonts w:ascii="Arial" w:hAnsi="Arial" w:cs="Arial"/>
      <w:sz w:val="18"/>
      <w:szCs w:val="18"/>
    </w:rPr>
  </w:style>
  <w:style w:type="character" w:customStyle="1" w:styleId="AAa1tekstZnak">
    <w:name w:val="AAa1 tekst Znak"/>
    <w:basedOn w:val="Domylnaczcionkaakapitu"/>
    <w:link w:val="AAa1tekst"/>
    <w:rsid w:val="00A63A93"/>
    <w:rPr>
      <w:rFonts w:ascii="Arial" w:hAnsi="Arial" w:cs="Arial"/>
      <w:sz w:val="18"/>
      <w:szCs w:val="18"/>
    </w:rPr>
  </w:style>
  <w:style w:type="paragraph" w:customStyle="1" w:styleId="1nagwek">
    <w:name w:val="1_nagłówek"/>
    <w:basedOn w:val="Normalny"/>
    <w:link w:val="1nagwekZnak"/>
    <w:qFormat/>
    <w:rsid w:val="00A63A93"/>
    <w:pPr>
      <w:suppressAutoHyphens/>
      <w:spacing w:before="280" w:after="120" w:line="240" w:lineRule="auto"/>
      <w:ind w:hanging="284"/>
      <w:jc w:val="both"/>
    </w:pPr>
    <w:rPr>
      <w:rFonts w:ascii="Calibri" w:eastAsia="Arial Unicode MS" w:hAnsi="Calibri" w:cs="David"/>
      <w:b/>
      <w:lang w:eastAsia="zh-CN"/>
    </w:rPr>
  </w:style>
  <w:style w:type="character" w:customStyle="1" w:styleId="1nagwekZnak">
    <w:name w:val="1_nagłówek Znak"/>
    <w:link w:val="1nagwek"/>
    <w:rsid w:val="00A63A93"/>
    <w:rPr>
      <w:rFonts w:ascii="Calibri" w:eastAsia="Arial Unicode MS" w:hAnsi="Calibri" w:cs="David"/>
      <w:b/>
      <w:lang w:eastAsia="zh-CN"/>
    </w:rPr>
  </w:style>
  <w:style w:type="paragraph" w:customStyle="1" w:styleId="AAA3punktydodatkowe">
    <w:name w:val="AAA3 punkty dodatkowe"/>
    <w:basedOn w:val="Akapitzlist"/>
    <w:link w:val="AAA3punktydodatkoweZnak"/>
    <w:qFormat/>
    <w:rsid w:val="00A63A93"/>
    <w:pPr>
      <w:numPr>
        <w:numId w:val="28"/>
      </w:numPr>
      <w:spacing w:before="20" w:after="60"/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AAA3punktydodatkoweZnak">
    <w:name w:val="AAA3 punkty dodatkowe Znak"/>
    <w:basedOn w:val="Domylnaczcionkaakapitu"/>
    <w:link w:val="AAA3punktydodatkowe"/>
    <w:rsid w:val="00A63A9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93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nagwek">
    <w:name w:val="AAnagłówek"/>
    <w:basedOn w:val="Normalny"/>
    <w:link w:val="AAnagwekZnak"/>
    <w:autoRedefine/>
    <w:qFormat/>
    <w:rsid w:val="00A63A93"/>
    <w:pPr>
      <w:spacing w:before="20" w:after="60"/>
      <w:jc w:val="both"/>
    </w:pPr>
    <w:rPr>
      <w:rFonts w:ascii="Arial" w:hAnsi="Arial" w:cs="Arial"/>
      <w:b/>
      <w:sz w:val="18"/>
      <w:szCs w:val="18"/>
    </w:rPr>
  </w:style>
  <w:style w:type="character" w:customStyle="1" w:styleId="AAnagwekZnak">
    <w:name w:val="AAnagłówek Znak"/>
    <w:basedOn w:val="Domylnaczcionkaakapitu"/>
    <w:link w:val="AAnagwek"/>
    <w:rsid w:val="00A63A93"/>
    <w:rPr>
      <w:rFonts w:ascii="Arial" w:hAnsi="Arial" w:cs="Arial"/>
      <w:b/>
      <w:sz w:val="18"/>
      <w:szCs w:val="18"/>
    </w:rPr>
  </w:style>
  <w:style w:type="paragraph" w:customStyle="1" w:styleId="AAa2punkty">
    <w:name w:val="AAa2 punkty"/>
    <w:basedOn w:val="Akapitzlist"/>
    <w:link w:val="AAa2punktyZnak"/>
    <w:autoRedefine/>
    <w:qFormat/>
    <w:rsid w:val="00A63A93"/>
    <w:pPr>
      <w:numPr>
        <w:numId w:val="27"/>
      </w:numPr>
      <w:spacing w:before="40" w:after="0"/>
      <w:ind w:left="426" w:hanging="142"/>
      <w:jc w:val="both"/>
    </w:pPr>
    <w:rPr>
      <w:rFonts w:ascii="Arial" w:hAnsi="Arial" w:cs="Arial"/>
      <w:sz w:val="18"/>
      <w:szCs w:val="18"/>
    </w:rPr>
  </w:style>
  <w:style w:type="character" w:customStyle="1" w:styleId="AAa2punktyZnak">
    <w:name w:val="AAa2 punkty Znak"/>
    <w:basedOn w:val="Domylnaczcionkaakapitu"/>
    <w:link w:val="AAa2punkty"/>
    <w:rsid w:val="00A63A93"/>
    <w:rPr>
      <w:rFonts w:ascii="Arial" w:hAnsi="Arial" w:cs="Arial"/>
      <w:sz w:val="18"/>
      <w:szCs w:val="18"/>
    </w:rPr>
  </w:style>
  <w:style w:type="paragraph" w:customStyle="1" w:styleId="AAa1tekst">
    <w:name w:val="AAa1 tekst"/>
    <w:basedOn w:val="Normalny"/>
    <w:link w:val="AAa1tekstZnak"/>
    <w:qFormat/>
    <w:rsid w:val="00A63A93"/>
    <w:pPr>
      <w:spacing w:after="0"/>
      <w:ind w:left="142"/>
      <w:jc w:val="both"/>
    </w:pPr>
    <w:rPr>
      <w:rFonts w:ascii="Arial" w:hAnsi="Arial" w:cs="Arial"/>
      <w:sz w:val="18"/>
      <w:szCs w:val="18"/>
    </w:rPr>
  </w:style>
  <w:style w:type="character" w:customStyle="1" w:styleId="AAa1tekstZnak">
    <w:name w:val="AAa1 tekst Znak"/>
    <w:basedOn w:val="Domylnaczcionkaakapitu"/>
    <w:link w:val="AAa1tekst"/>
    <w:rsid w:val="00A63A93"/>
    <w:rPr>
      <w:rFonts w:ascii="Arial" w:hAnsi="Arial" w:cs="Arial"/>
      <w:sz w:val="18"/>
      <w:szCs w:val="18"/>
    </w:rPr>
  </w:style>
  <w:style w:type="paragraph" w:customStyle="1" w:styleId="1nagwek">
    <w:name w:val="1_nagłówek"/>
    <w:basedOn w:val="Normalny"/>
    <w:link w:val="1nagwekZnak"/>
    <w:qFormat/>
    <w:rsid w:val="00A63A93"/>
    <w:pPr>
      <w:suppressAutoHyphens/>
      <w:spacing w:before="280" w:after="120" w:line="240" w:lineRule="auto"/>
      <w:ind w:hanging="284"/>
      <w:jc w:val="both"/>
    </w:pPr>
    <w:rPr>
      <w:rFonts w:ascii="Calibri" w:eastAsia="Arial Unicode MS" w:hAnsi="Calibri" w:cs="David"/>
      <w:b/>
      <w:lang w:eastAsia="zh-CN"/>
    </w:rPr>
  </w:style>
  <w:style w:type="character" w:customStyle="1" w:styleId="1nagwekZnak">
    <w:name w:val="1_nagłówek Znak"/>
    <w:link w:val="1nagwek"/>
    <w:rsid w:val="00A63A93"/>
    <w:rPr>
      <w:rFonts w:ascii="Calibri" w:eastAsia="Arial Unicode MS" w:hAnsi="Calibri" w:cs="David"/>
      <w:b/>
      <w:lang w:eastAsia="zh-CN"/>
    </w:rPr>
  </w:style>
  <w:style w:type="paragraph" w:customStyle="1" w:styleId="AAA3punktydodatkowe">
    <w:name w:val="AAA3 punkty dodatkowe"/>
    <w:basedOn w:val="Akapitzlist"/>
    <w:link w:val="AAA3punktydodatkoweZnak"/>
    <w:qFormat/>
    <w:rsid w:val="00A63A93"/>
    <w:pPr>
      <w:numPr>
        <w:numId w:val="28"/>
      </w:numPr>
      <w:spacing w:before="20" w:after="60"/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AAA3punktydodatkoweZnak">
    <w:name w:val="AAA3 punkty dodatkowe Znak"/>
    <w:basedOn w:val="Domylnaczcionkaakapitu"/>
    <w:link w:val="AAA3punktydodatkowe"/>
    <w:rsid w:val="00A63A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5B53-608B-476B-A47E-4789E0FB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2</cp:revision>
  <dcterms:created xsi:type="dcterms:W3CDTF">2024-05-28T13:16:00Z</dcterms:created>
  <dcterms:modified xsi:type="dcterms:W3CDTF">2024-05-28T13:16:00Z</dcterms:modified>
</cp:coreProperties>
</file>